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суда округа соответствуют правовой позиции, изложенной в определении Судебной коллегии по экономическим спорам Верховного Суда Российской Федерации от 09.03.2023 № 305-ЭС22-23165. Иное толкование заявителем жалобы норм материального права не свидетельствует о неправильном применении их судом округа с учетом установленных фактических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«Чайна Констракшн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"ЧАЙНА КОНСТРАКШН БАНК" (подробнее) Ответчики: Государственная инспекция по контролю за использованием объектов недвижимости города Москвы (подробнее) Иные лица: ГОСУДАРСТВЕННОЕ БЮДЖЕТНОЕ УЧРЕЖДЕНИЕ ГОРОДА МОСКВЫ "МОСКОВСКИЙ КОНТРОЛЬНО-МОНИТОРИНГОВЫЙ ЦЕНТР НЕДВИЖИМОСТИ"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