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176 Арбитражного процессуального кодекса Российской Федерации (далее – АПК РФ) дата изготовления решения в полном объеме считается датой принятия решения.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Последним из обжалуемых заявителем судебных актов является постановление президиума Суда по интеллектуальным правам, принятое и вступившее в законную силу 14.04.2023. Согласно части 2 статьи 114 АПК РФ процессуальный срок, исчисляемый месяцами, истекает в соответствующее число последнего месяца установленного срока. Обращаясь с кассационной жалобой 15.06.2023, заявитель ходатайствует о восстановлении пропущенного срока, ошибочно исчисляя срок подачи жалобы с момента опубликования постановления.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Следует отметить, что в судебном заседании суда кассационной инстанций участвовали представители компании; принятое постановление размещено в информационно-телекоммуникационной сети «Интернет» на следующий день после его изготовления в полном объеме (15.04.2023), то есть без какой-либо задержки. Таким образом, заявитель знал о состоявшемся судебном акте и имел достаточно времени для подготовки и подачи соответствующей жалобы. Причин пропуска срока, не зависящих от заявителя, при наличии которых он в течение двух месяцев не имел возможности своевременно обратиться с кассационной жалобой, в ходатайстве не приведено. Лица, участвующие в деле, несут риск наступления последствий совершения или несовершения ими процессуальных действий (часть 2 статьи 9 АПК РФ ).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Учитывая изложенное и руководствуясь статьей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иностранного лица Agrokraft GmbH о восстановлении пропущенного процессуального срока на подачу кассационной жалобы отказать, кассационную жалобу возвратить. Судья Верховного Суда Борисова Е.Е. Российской Федерации Суд: Верховный Суд РФ (подробнее) Истцы: AGROKRAFT Gmbh (подробнее) Иные лица: Федеральная служба по интеллектуальной собственности (подробнее) Судьи дела: Попов В.В.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