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17.11.2022 первоначальный иск удовлетворен, в удовлетворении встречного иска отказано. Тринадцатый арбитражный апелляционный суд постановлением от 13.02.2023 изменил решение от 17.11.2022 и отказал в удовлетворении обоих исков. Арбитражный суд Северо-Западного округа постановлением от 18.04.2023 оставил без изменения постановление апелляционного суда от 13.02.2023. В кассационной жалобе общество «УНОТРАНС ГРУПП» просит об отмене судебных актов апелляционного и окружного судов в части отказа ему в иске, ссылаясь на неправильное толкование условий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апелляционного суда основаны на условиях договора об оказании экспедиторских услуг от 20.08.2018 № 2008, которыми требуемые расходы не включены в дополнительные, возлагаемые на клиента.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«УНОТРАНС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"УНОТРАНС ГРУПП" (подробнее) Ответчики: ООО "Абразивные технологии"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