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заявителя жалобы, изложенные в судебных актах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В целом доводы кассационной жалобы являлись предметом рассмотрения судов и получили правовую оценку с учетом установленных обстоятельств дела,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ЮСТ»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"ТОРГОВЫЙ ДОМ ЮСТ" (подробнее) Ответчики: Инспекция Федеральной Налоговой Службы №4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