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03.03.2022 в удовлетворении иска отказано. Постановлением Двадцатого арбитражного апелляционного суда от 08.12.2022 решение суда первой инстанции отменено, урегулированы возникшие между сторонами разногласия по договору на оказание услуг по обращению с твердыми коммунальными отходами (далее – ТКО). Постановлением Арбитражного суда Центрального округа от 09.03.2023 постановление суда апелляционной инстанции оставлено без изменения. 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2 Поскольку решение суда первой инстанции отменено постановлением суда апелляционной инстанции, оставленным без изменения постановлением суда округа, жалоба в части пересмотра в порядке кассационного производства решения суда беспредметна.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Исследовав и оценив представленные в материалы дела доказательства, проанализировав предложенные сторонами редакции спорных условий договора, руководствуясь положениями гражданского законодательства и законодательства, регулирующего обращение с ТКО и порядок их коммерческого учета объема и (или) массы, суд апелляционной инстанции, с которым согласился суд округа, урегулировал возникшие разногласия в редакции, соответствующей действующим нормативным правовым актам. Доводы кассационной жалобы не подтверждают существенных нарушений апелляционным и окружным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«Юнайтекс»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