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представленные в материалы дела доказательства, руководствуясь положениями гражданского законодательства и законодательства, регулирующего обращение с твердыми коммунальными 2 отходами (далее – ТКО) и порядок их коммерческого учета объема и (или) массы, установив факт оказания истцом (региональный оператор) ответчику в спорный период услуг по обращению с ТКО на условиях типового договора и их неоплаты последним, суды пришли к выводу о наличии оснований для удовлетворения иска.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садового некоммерческого товарищества «Ермаковское»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