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взыскании с бывших руководителей должника ФИО1 и ФИО3 причинённых должнику убытков в размере 33 364 819 рублей. Определением Арбитражного суда Рязанской области от 25.04.2022, оставленным без изменения постановлениями Двадцатого арбитражного апелляционного суда от 21.11.2022 и Арбитражного суда Центрального округа от 22.02.2023, заявление удовлетворено частично; c ФИО1 взысканы убытки в размере 18 264 238 рублей 65 копеек, с ФИО3 в размере 4 369 720 рублей.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Исходя из содержания настоящей жалобы, заявитель не согласен с указанными судебными актами в части удовлетворения требований.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15 и 53.1 Гражданского кодекса Российской Федерации, отклонив доводы о пропуске срока исковой давности для предъявления настоящих требований, исходили из наличия оснований для удовлетворения требований о взыскании убытков в указанных размерах ввиду доказанности причинно-следственной связи между противоправными действиями ФИО1 и ФИО3, являвшихся директорами и участниками должника, по перечислении денежных средств ФИО1 и убытками на стороне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"Объединение"ИНГЕОКОМ" (подробнее) Ответчики: ООО "М-Групп" (подробнее) Иные лица: Двадцатый Арбитражный апелляционный суд (подробнее) ПАО ВТБ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