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14 июня 2023 года согласно оттиску почтового штампа на конверте заявитель направил в Верховный Суд Российской Федерации настоящую кассационную жалобу, то есть по истечении как двухмесячного 2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