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гражданского законодательства и законодательства, регулирующего обращение с твердыми коммунальными 2 отходами (далее – ТКО) и порядок их коммерческого учета объема и (или) массы, установив факт оказания истцом (региональный оператор) ответчику в заявленный период услуг по обращению с ТКО по спорному объекту на условиях типового договора, которые последний не оплатил, суды пришли к выводу о наличии оснований для взыскания с ответчика долга в размере, определенном исходя из норматива, установленного уполномоченным органом, и неустойки.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«Кристалл»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