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иск и подтверждая правильность этого вывода, суды, исследовав и оценив представленные в материалы дела доказательства, руководствуясь нормами гражданского законодательства, регулирующего 2 спорные правоотношения, исходили из доказанности истцом (арендодатель) факта существенных нарушений ответчиком (арендатор) условий договора аренды, являющихся основанием для его расторжения.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«НИКСИ»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