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01.12.2022, оставленным без изменения постановлением Арбитражного суда Волго-Вятского округа от 20.03.2023,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