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26.09.2022 заявление удовлетворено. Постановлением Одиннадцатого арбитражного апелляционного суда от 07.12.2022, оставленным без изменения постановлением Арбитражного суда Поволжского округа от 21.02.2023, определение от 26.09.2022 изменено в части взысканной в качестве последствия недействительности сделок суммы. В кассационных жалобах Торощины В.А. и Е.В. просят об отмене судебных актов, ссылаясь на неправильную оценку обстоятельств совершения сделок и неприменение срока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Суды установили наличие условий для недействительности последовательных сделок между заинтересованными лицами, направленных на формальное изменение собственника имущества во избежание обращения взыскания на него по существующим перед кредиторами обязательствам должника, влекущих в силу пункта 2 статьи 61.2 Федерального закона от 26.10.2002 № 127-ФЗ «О несостоятельности (банкротстве)» недействительность договоров. Срок исковой давности для кредитора исчислен по правилу статьи 200 Гражданского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Торощину Вячеславу Афанасьевичу, Торощиной Екатерине Вадимовне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