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заявителя жалобы, изложенные в судебных актах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В целом доводы кассационной жалобы являлись предметом рассмотрения судов и получили правовую оценку с учетом установленных обстоятельств дела,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«СпецМонтажУниверсал»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"СПЕЦМОНТАЖУНИВЕРСАЛ" (подробнее) Ответчики: Межрайонная инспекция Федеральной налоговой службы №10 по Тюменской области (подробнее) Иные лица: ООО "Автотранс-ДВ"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