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должник с заявлением об исключении из конкурсной массы недвижимого имущества - квартиры и денежных средств в размере прожиточного минимума. Определением Арбитражного суда города Москвы от 03.11.2022 в удовлетворении заявления отказано. Постановлением Девятого арбитражного апелляционного суда от 17.01.2023 определение суда первой инстанции оставлено без изменения. Арбитражный суд Московского округа постановлением от 21.03.2023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правовыми позициями Конституционного Суда Российской Федерации, изложенными в постановлениях от 14.05.2012 № 11-П и от 26.01.2021 № 15-П, разъяснениями, изложенными в пункте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оснований для распространения исполнительского иммунитета на спорную квартиру и исключения ее из конкурсной массы, учитывая, что должник в спорной квартире зарегистрирован незадолго до процедуры банкротства, с учетом площади квартиры и ее местоположения квартира соответствует критериям роскошного жилья, собраниями кредиторов дважды приняты решения о предоставлении должнику замещающего жилья, определением суда от 08.06.2022 в признании недействительными решений собраний кредиторов отказано, заявленное требование фактически направлено на преодоление вступившего в законную силу судебного акта. Отказывая в исключении из конкурсной массы денежных средств в размере прожиточного минимума и расходов по коммунальным услугам, суды исходили из отсутствия у должника доходов, из которых возможно было бы осуществление такого удержания.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"АСПЕКТ-ФИНАНС" (подробнее) ЗАО АБ АСПЕКТ (подробнее) инспекция Федеральной налоговой службы №17 по г. Москве (подробнее) ООО УПРАВЛЯЮЩАЯ КОМПАНИЯ "ЭГО-КОМФОРТ" (подробнее) ООО ФИРМА "РАМИС"ЛТД (подробнее) ПАО Банк ВТБ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