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24.10.2022, оставленным без изменения постановлением Семнадцатого арбитражного апелляционного суда от 29.12.2022 и постановлением Арбитражного суда Уральского округа от 07.03.2023, заявление управляющего о взыскании с общества судебных расходов удовлетворено. В кассационной жалобе общество просит о пересмотре судебных актов, ссылаясь на отсутствие связи расходов с апелляционным обжалованием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Несение судебных расходов в связи в связи с апелляционным обжалованием обществом определения от 15.03.2022 и рассмотрение жалобы не в пользу общества установлены судами, поэтому расходы признаны подлежащими возмещению обществом согласно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«Коллекторское агентство «Спецдобавки»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№31 по Свердловской области (подробнее) ООО КОЛЛЕКТОРСКОЕ АГЕНТСТВО СПЕЦДОБАВКИ (подробнее) ПАО Сбербанк России (подробнее) Иные лица: АССОЦИАЦИЯ "НАЦИОНАЛЬНАЯ ОРГАНИЗАЦИЯ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