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Пальцевой И.В. в Арбитражный суд Хабаровского края обратился Пальцев В.И. с заявлением о включении задолженности в реестр требований кредиторов должника. Определением Арбитражного суда Хабаровского края от 03.10.2022, оставленным без изменения постановлением Шестого арбитражного апелляционного суда от 08.12.2022 и постановлением Арбитражного суда Дальневосточного округа от 17.02.2023, требования кредитора признаны обоснованными и включены в третью очередь реестра требований кредиторов должника в сумме 10 384 634 рублей 65 копеек; в удовлетворении заявления в остальной части отказано. Семенова Т.А.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2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16, 71, 100 Федерального закона от 26.10.2002 № 127-ФЗ «О несостоятельности (банкротстве)», статьей 395 Гражданского кодекса Российской Федерации, разъяснениями, изложенными в постановлении Пленума Высшего Арбитражного Суда Российской Федерации от 06.12.2013 № 88 «О начислении и уплате процентов по требованиям кредиторов при банкротстве», и исходили из того, что требования кредитора подтверждены вступившими в законную силу судебными актами, а также являются дополнительными к этим требованиями, на день рассмотрения обоснованности заявления задолженность не погашена, в связи с чем подлежат включению в реестр требований кредиторов должника в составе третьей очереди.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