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суд с заявлением о признании должника несостоятельным (банкротом). Определением Арбитражного суда Нижегородской области от 31.01.2020 заявление банка признано обоснованным, введена процедура реструктуризации долгов гражданина. Не согласившись с указанным судебным актом, заявитель обжаловал его в апелляционном порядке. Определением Первого арбитражного апелляционного суда от 16.09.2020, оставленным без изменения постановлением Арбитражного суда Волго-Вятского округа от 27.11.2020, апелляционная жалоба возвращена заявителю на основании пункта 2 части 1 статьи 264 Арбитражного процессуального кодекса Российской Федерации, поскольку процессуальным законодательством не предусмотрена возможность повторного апелляционного обжалования определения суда, которое уже было предметом апелляционного рассмотрения и вступило в законную силу. В кассационной жалобе, поданной в Верховный Суд Российской Федерации заявитель просит передать жалобу вместе с делом для рассмотрения в судебном заседании Судебной коллегии Верховного Суда Российской Федерации, отменить названные судебные акты и направить дело на новое рассмотрение в Арбитражный суд Нижегородской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жалобу заявителя, апелляционный суд, руководствуясь статьями 42 , 188 , 257 , 264 Арбитражного процессуального кодекса Российской Федерации, исходил из того, что она подана на судебный акт, ранее являвшийся предметом рассмотрения в порядке апелляционного производства, а возможность повторного апелляционного обжалования вступившего в законную силу определения арбитражного суда нормами процессуального законодательства не предусмотрена. Суд округа поддержал выводы апелляционного суда. Приведенные заявителем в кассационной жалобе доводы заслуживают внимания, поскольку вопреки ошибочным выводам апелляционного суда, поддержанным коллегией суда округа, заявитель обжалует названное определение суда первой инстанции в порядке статьи 42 Арбитражного процессуального кодекса Российской Федерации как лицо, не участвующее в деле, о правах и обязанностях которого суд принял судебный акт. Вместе с тем, допущенные судами нарушения не привели к принятию неправильных судебных актов и нарушению прав заявителя. Определением суда первой инстанции не утверждался план реструктуризации долгов должника. По тексту судебного акта перечислено зарегистрированное за должником имущество без указания на необходимость совершения в отношении него каких-либо действий, в том числе реализации. При наличии к тому оснований заявитель не лишен возможности в рамках настоящего дела о банкротстве должника обратиться в суд заявлением об исключении имущества из конкурсной массы. На основании вышеизложенного,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Сбербанк (подробнее) Ответчики: ИП Моденов Дмитрий Вячеславович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