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20.09.2022 срок реализации имущества должника продлен на два месяца, финансовому управляющему Мельнику Д.Ю. установлены проценты по вознаграждению в размере 22 386 рублей. Восемнадцатый арбитражный апелляционный суд постановлением от 28.11.2022 отменил определение от 20.09.2022 в части установления размера вознаграждения, установив проценты по вознаграждению в размере 22 386 рублей. Арбитражный суд Уральского округа постановлением от 16.02.2023 оставил без изменения постановление апелляционного суда от 28.11.2022. В кассационной жалобе ФИО2 просит об отмене судебных актов, ссылаясь на неправильное определение размера процентного вознаграждения.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определили процентное вознаграждение от суммы выручки, направленной на удовлетворение требований кредиторов.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Мельнику Д.Ю.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"НБК" (подробнее) ПАО Банк ВТБ (подробнее) ПАО БАНК УРАЛСИБ (подробнее) ПАО "МТС-Банк" (подробнее) ПАО Сбербанк России (подробнее) Иные лица: АГО Г.НЕФТЕКАМСК (подробнее) Союз "Саморегулируемая организация "Гильдия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