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посредством электронной системы подачи документов 12.05.2023 направил в Верховный Суд Российской Федерации указанную кассационную жалобу, в которой изложил ходатайство о восстановлении пропущенного срока ее подачи. Согласно положениям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В обоснование ходатайства заявитель указал на невозможность своевременного составления и подачи жалобы в связи с нахождением его представителя ФИО2 на амбулаторном лечении с 26.03.2023 по 04.05.2023. Вместе с тем названные обстоятельства не могут расцениваться в качестве объективных причин пропуска процессуального срока на подачу кассационной жалобы по независящим от заявителя обстоятельствам.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учетом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возвратить заявителю. Судья Самуйлов С.В. Суд: Верховный Суд РФ (подробнее) Истцы: НП СРО АУ "Стратегия" (подробнее) Иные лица: ААУ "ЦФОП АПК" (подробнее) НП "Центр финансового оздоровления предприятий агропромышленного комплекса" (подробнее) Управление Росреестра по Краснодарскому краю (подробнее) УФНС России по КК (подробнее) УФРС ПО КК (подробнее) Финансовый управляющий Беликов Анатолий Петрович (подробнее) Финансовый управляющий Павлушин Константин Сергеевич (подробнее) Судьи дела: Самуйлов С.В.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