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«Промсельхозбанк» (далее – банк) обратилось в суд с заявлением о включении его требования в размере 72 765 178 рублей 56 копеек в реестр требований кредиторов должника. Определением Арбитражного суда города Москвы от 04.07.2018 в удовлетворении требований отказано. Постановлением Девятого арбитражного апелляционного суда от 27.08.2018, оставленным без изменения постановлением Арбитражного суда Московского округа от 29.01.2019, отменено определение суда первой инстанции от 04.07.2018, вышеуказанное требование признано обоснованным и подлежащим учёту в третьей очереди реестра требований кредиторов должника. В кассационной жалобе, поданной в Верховный Суд Российской Федерации, заявитель просит отменить постановления апелляционного суда и суда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требование,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343 , 344 , 357 , 1064 Гражданского кодекса Российской Федерации, статей 71, 100, 142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пункте 12 постановления Пленума Высшего Арбитражного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установил факт причинения должником убытков банку в виде реального ущерба на указанную сумму ввиду реализации должником (залогодателем) предмета залога вопреки установленному законодательством о банкротстве порядку.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«Рузаевский стекольный завод»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в/у Клерина Н.М. (подробнее) ЗАО к/у "РСЗ" САХАРОВ В.В. (подробнее) ЗАО "Рузаевский Стекольный завод" (подробнее) ИФНС №4 по г. Москве (подробнее) ИФНС России №4 по г. Москве (подробнее) ИФНС России №4 по Москве (подробнее) Компания Крета Юниверсал С.А. (подробнее) НП САУ "Авангард" (подробнее) ОАО "БЭЗ" (подробнее) ОАО "Кварц" (подробнее) ООО АНТР-АКТИВ (подробнее) ООО Балкум (подробнее) ООО "Внешпромбанк" (подробнее) ООО "Газпром межрегионгаз Саранск" (подробнее) ООО Источник (подробнее) ООО "Кварц-НН" (подробнее) ООО КЕРАМГЛАС (подробнее) ООО ПРОМЫШЛЕННЫЙ СЕЛЬСКОХОЗЯЙСТВЕННЫЙ БАНК (подробнее) ООО РИФ-МИКРОМРАМОР (подробнее) ООО "Торговый дом "Стеклостандарт" (подробнее) ПАО "Мордовский энергосбытовая компания" (подробнее) ПАО "Ростелеком" (подробнее)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