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резолютивной части определения Верховного Суда Российской Федерации от 20 февраля 2017 года № 302-ЭС16-20728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допущена опечатка в наименовании заявителя (вместо ФИО1 указан ФИО2), которая подлежит исправлению. Руководствуясь статьей 179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исправление в резолютивную часть определения Верховного Суда Российской Федерации от 20 февраля 2017 года № 302-ЭС16-20728, читая наименование заявителя – ФИО1. Судья Д.В. Капкаев Суд: Верховный Суд РФ (подробнее) Иные лица: Департамент муницип. имущества и земельных отношений администрации г. Красноярска (подробнее) Железнодорожный районный суд г. Красноярска (подробнее) МИФНС №23 по КК (подробнее) МОСП по исполнению особых исполнительных производств (подробнее) ООО "СИТЭКСТРОЙ" (подробнее) ООО Станкевич В.В. (к/у "СитэкСтрой") (подробнее) ПАО Росгосстрах Банк (подробнее) ФНС России (подробнее) Судьи дела: Капкаев Д.В. (судья) Последние документы по делу: Определение от 28 июля 2020 г. по делу № А33-21513/2015 Определение от 3 июня 2020 г. по делу № А33-21513/2015 Определение от 2 марта 2017 г. по делу № А33-21513/2015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