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21.10.2022, оставленным без изменения постановлением Тринадцатого арбитражного апелляционного суда от 14.12.2022 и постановлением Арбитражного суда Северо-Западного округа от 09.03.2023, заявление удовлетворено. В кассационной жалобе ФИО1 просит об отмене судебных актов, ссылаясь на неправильную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обстоятельства заключения оспариваемых сделок, составляющие условия их недействительности в силу пункта 2 статьи 61.2 Федерального закона от 26.10.2002 № 127-ФЗ «О несостоятельности (банкротстве)». Требуемая переоценка установленных обстоятельств не влечет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к/у Шамбасов Р.С. (подробнее) ООО КОММЕРЧЕСКИЙ БАНК "НЕВАСТРОЙИНВЕСТ" (подробнее) ООО "СлавСтройИнвест-Реконструкция" (подробнее) ООО "Филберт" (подробнее) Райффайзенбанк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