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Калининградской области от 15.09.2022, оставленным без изменения постановлением Тринадцатого арбитражного апелляционного суда от 15.11.2022 и постановлением Арбитражного суда Северо-Западного округа от 15.02.2023, заявление удовлетворено. В кассационной жалобе ФИО1 просит об отмене судебных актов, ссылаясь на неосновательный вывод судов о заинтересованности.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Обозначенные кредитором обстоятельства суды признали создающими в силу статей 20.2 , 20.3 , 20.4 , 213.9 Федерального закона от 26.10.2002 № 127-ФЗ «О несостоятельности (банкротстве)» условия для применения требуемой меры.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Иные лица: Ассоциация Ведущих Арбитражных Управляющих "Достояние" (подробнее) АССОЦИАЦИЯ "МЕЖРЕГИОНАЛЬНАЯ САМОРЕГУЛИРУЕМАЯ ОРГАНИЗАЦИЯ ПРОФЕССИОНАЛЬНЫХ АРБИТРАЖНЫХ УПРАВЛЯЮЩИХ" (подробнее) СОЮЗ "МЕЖРЕГИОНАЛЬНЫЙ ЦЕНТР АРБИТРАЖНЫХ УПРАВЛЯЮЩИХ" (подробнее) Ф/у Барыкина Лариса Армиловна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