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Вопреки доводам заявителя, суды, рассмотрев соответствующее заявление об уменьшении размера неустойки, оснований для применения статьи 333 Гражданского кодекса Российской Федерации, то есть факта явной несоразмерности неустойки последствиям нарушения обязательства, не установили. Вопрос о применении положений данной статьи относится к полномочиям судов первой и апелляционной инстанций. В свою очередь, установление иных фактических обстоятельств дела, отличных от установленных судами, не относится к полномочиям Судебной коллегии Верховного Суда Российской Федерации, определенным в частях 2, 3 статьи 29114 Арбитражного процессуального кодекса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«Территориальная генерирующая компания № 14»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"Феррум трейд" (подробнее) Ответчики: ПАО "Территориальная генерирующая компания №14" (подробнее) Судьи дела: Антонова М.К.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