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постановление по делу № А40-35539/2021 и одновременно просит в счет подлежащей уплате за ее подачу государственной пошлины зачесть сумму, уплаченную по платежному поручению от 24.09.2020 № 15387 и возвращенную Четырнадцатым арбитражным апелляционным судом. Согласно статье 104 Арбитражного процессуального кодекса Российской Федерации основания и порядок уплаты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Учитывая представление оригиналов документов, необходимых для зачета государственной пошлины, суд производит зачет. 2 Руководствуясь статьями 104,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зачесть публичному акционерному обществу «Ленское объединенное речное пароходство» в счет уплаты государственной пошлины за подачу кассационной жалобы на постановление Арбитражного суда Московского округа от 06.04.2023 по делу № А40-35539/2021 Арбитражного суда города Москвы 3 000 (три тысячи) рублей из суммы, уплаченной по платежному поручению от 24.09.2020 № 15387 и подлежащей возврату из бюджета на основании справки Четырнадцатого арбитражного апелляционного суда от 03.05.2023 № А05-5711/2022.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