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Ссылка заявителя на то, что эксперт, которому было поручено проведение судебной экспертизы, подлежал отводу, не может быть принята во внимание, поскольку данный довод не заявлялся в судах нижестоящих инстанций.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«Промгражданпроект»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Викуловского муниципального района (подробнее) Ответчики: ООО "Торговый дом "Промгражданпроект" (подробнее) ООО "Торговый Дом " Промгражданпроект" (подробнее) Иные лица: 8 ААС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