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Верховного Суда Российской Федерации от 13.01.2023 № 304-ЭС22-23271 производство по настоящей кассационной жалобе приостановлено. В связи с принятием постановления Конституционного Суда Российской Федерации от 31.05.2023 № 28-П условия для приостановления отпали, в силу чего производство по жалобе подлежит возобновлению. На основании изложенного и руководствуясь статьями 145, 146 и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возобновить производство по кассационной жалобе.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