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25.08.2022, оставленным без изменения постановлением Девятого арбитражного апелляционного суда от 15.11.2022 и постановлением Арбитражного суда Московского округа от 07.02.2023, в удовлетворении заявления отказано. В кассационной жалобе Зиненко А.Г. просит об отмене судебных актов, ссылаясь на уплату в конкурсную массу нерыночной стоимости квартиры.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отсутствие умаления конкурсной массы должника, не опровергнутое кредитором, вследствие отчуждения имущества в качестве основания для отказа в признании их недействительными в силу законодательства о банкротстве и общегражданских норм.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Зиненко Александру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