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10.03.2022 заявление удовлетворено, с ФИО2 в пользу ФИО1 взыскано в порядке субсидиарной ответственности 990 309 рублей. Постановлением Девятого арбитражного апелляционного суда от 12.10.2022, оставленным без изменения постановлением Арбитражного суда Московского округа от 11.01.2023, по безусловным основаниям отменено решение суда первой инстанции от 10.03.2022, отказано в удовлетворении заявления.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принять новый судебный акт об удовлетворении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апелляционный суд, руководствуясь положениями статей 61.10 - 61.12 Федерального закона от 26.10.2002 № 127-ФЗ «О несостоятельности (банкротстве)», пришёл к выводу об отсутствии оснований для привлечения ФИО2 к субсидиарной ответственности по обязательствам общества.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