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с ограниченной ответственностью «Евразия – Континент» обратилось в суд жалобой на действия (бездействие) конкурсного управляющего должником ФИО1, ходатайством об отстранении последнего от исполнения возложенных на него обязанностей и требованием о взыскании с него убытков в размере 128 453 130 рублей. Определением Арбитражного суда города Москвы от 12.07.2022, оставленным без изменения постановлением Девятого арбитражного апелляционного суда от 13.10.2022, признаны несоответствующими закону действия конкурсного управляющего ФИО1, выразившиеся в: непроведении аудита должника, в необоснованном заключении договора аренды с обществами с ограниченной ответственностью «Управление проектами» и ООО «Русуправление»; в отсутствии контроля за формированием конкурсной массы должника. ФИО1 отстранён от исполнения обязанностей конкурсного управляющего должником. В удовлетворении остальной части заявленных требований отказано. Постановлением Арбитражного суда Московского округа от 24.01.2023 принятые по делу судебные акты в части удовлетворения жалобы конкурсного кредитора и отстранения ФИО1 от исполнения конкурсного управляющего должником отменены, в отменённой части обособленный спор направлен на новое рассмотрение в суд первой инстанции. В остальной части определение суда первой инстанции от 12.07.2022 и постановление апелляционного суда от 13.10.2022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отказа во взыскании убытков с арбитражного управляющего ФИО1 и направить дело в данной части на новое рассмотрение в суд первой инстанции.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15 , 1064 Гражданского кодекса Российской Федерации, статьями 20.3 , 60 Федерального закона от 26.10.2002 № 127-ФЗ «О несостоятельности (банкротстве)», исходили из недоказанности совокупности всех элементов состава гражданско-правовой ответственности, влекущей за собой взыскание с арбитражного управляющего ФИО1 убытков в заявленном размере.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В/у "ТАВОЛГА" Маркин М.С. (подробнее) к/у Сичевой К.М. (подробнее) ООО "АльфаТрейдинг" (подробнее) ООО "ЕВРАЗИЯ-КОНТИНЕНТ" (подробнее) ООО "Инвестпроект" (подробнее) ООО к/у "Мултановское" (подробнее) ООО "Петрострой" (подробнее) ООО "СОРИЛС" (подробнее) ПАО Банк "ЮГРА" (подробнее) ПАО Банк "ЮГРА" к/у ГК АСВ (подробнее) Ответчики: ЗАО "ТАВОЛГА" (подробнее) Иные лица: Арбитражный суд города Москвы (подробнее) ООО "МСГ" (подробнее) ООО Профконцепция (подробнее) ООО "Фокус"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