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июня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Несогласие заявителя с выводами судов, иная оценка фактических обстоятельств дела, направленная на их повторное исследование, не означают допущенной при рассмотрении дела судебной ошибки и в силу части 1 статьи 29111, части 2 статьи 29114 Арбитражного процессуального кодекса Российской Федерации не являются основанием для пересмотра судебных актов Судебной коллегией Верховного Суда Российской Федерации.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«Специализированный застройщик «Саранский домостроительный комбинат»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"ДСК-Строй" (подробнее) Ответчики: ООО "Торговый дом Руссинокс" (подробнее) Иные лица: ООО "Система-СМ" (подробнее) ООО "ТОРГОВЫЙ ДОМ СТРОЙПРОДУКЦИЯ" (подробнее) ООО "Финансы и право" (подробнее) ПАО "СЗ"Саранский ДСК"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