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целом доводы кассационной жалобы направлены на переоценку доказательств и установление иных обстоятельств по делу, отличных от установленных судами, что не входит в полномочия кассационной инстанции Верховного Суда Российской Федерации. Возражения заявителя жалобы со ссылкой на неуказание в судебных актах всех имеющихся в деле доказательств и доводов заявителя подлежат отклонению, поскольку не свидетельствуют об отсутствии их надлежащей судебной проверки и оценки.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города Москвы по капитальному ремонту многоквартирных домов города Москвы «УКРиС»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"Инвест-Групп" (подробнее) Ответчики: ГОСУДАРСТВЕННОЕ КАЗЕННОЕ УЧРЕЖДЕНИЕ ГОРОДА МОСКВЫ ПО КАПИТАЛЬНОМУ РЕМОНТУ МНОГОКВАРТИРНЫХ ДОМОВ ГОРОДА МОСКВЫ "УКРИС"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