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и конкурсный кредитор – страховое публичное акционерное общество «Ингосстрах» обратились в суд с заявлениями, объединёнными в одно производство для совместного рассмотрения, в которых просили привлечь к субсидиарной ответственности компанию, ФИО2, ассоциацию «Торгово-строительно-промышленная группа компаний «Ташир», ФИО3. Определением Арбитражного суда города Москвы от 09.08.2022 заявление удовлетворено в полном объёме. Постановлением Девятого арбитражного апелляционного суда от 22.11.2022, оставленным без изменения постановлением Арбитражного суда Московского округа от 09.03.2023, данное определение отменено в части требований к ассоциации «Торгово-строительно-промышленная группа компаний «Ташир» и ФИО3; в отменённой части принят новый судебный акт об отказе в привлечении названных юридического и физического лиц к субсидиарной ответственности по обязательствам должника. В остальной части определение суда первой инстанции от 09.08.2022 оставлено без изменения. В кассационной жалобе, поданной в Верховный Суд Российской Федерации, заявитель просит отменить названные судебные акты в части привлечения его к субсидиарной ответственности по обязательствам должника и принять в отменённой части новый судебный акт об отказе в удовлетворении заявленных к нему требований.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подпунктом 1 пункта 2 статьи 61.11 Федерального закона от 26.10.2002 № 127-ФЗ «О несостоятельности (банкротстве)», исходили доказанности наличия оснований для привлечения к субсидиарной ответственности компании (центра прибыли), получившей существенный актив в виде перенаправленных в её адрес и невозвращенных денежных средств, что повлекло за собой причинение существенного вреда кредиторам и явилось причиной банкротства должника (центра убытков). Выводы судов в обжалуемой заявителем части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ИФНС России №15 по г. Москве (подробнее) ПАО Страховое "Ингосстрах" (подробнее) Ответчики: ООО "Экспоинжиниринг" (подробнее) Иные лица: Ассоциация ВАУ "Достояние" (подробнее) ООО "ДЕВЕЛОПЕР БИЛДИНГ"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