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«Ресурсцентр» (далее – общество «Ресурсцентр») обратилось в суд с заявлением о включении в реестр требований кредиторов должника (далее – реестр) требования в размере 2 900 089 рублей 31 копейки. Определением Арбитражного суда Ивановской области от 18.08.2022 отказано в удовлетворении требований. Постановлением Второго арбитражного апелляционного суда от 09.11.2022 определение суда первой инстанции оставлено без изменения; произведена процессуальная замена общества «Ресурсцентр» на его правопреемника – ФИО1 в части требования. Постановлением Арбитражного суда Волго-Вятского округа от 15.02.2022 оставлены без изменения определение суда первой инстанции и постановление апелляционного суда.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Арбитражный суд Ивановской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исходили из отсутствия надлежащих доказательств реальности отношений, положенных в основу заявленных требований к должнику и, как следствие, пришли к выводу об отсутствии оснований для их включения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судов, получили надлежащую правовую оценку и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"Модульстрой" (подробнее) Ответчики: АО "Региональный торговый комплекс" (подробнее) Иные лица: Арбитражный суд Ярославской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