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Исследовав и оценив представленные в материалы дела доказательства, суды первой и апелляционной инстанций, руководствуясь положениями Налогового кодекса Российской Федерации, Гражданского кодекса Российской Федерации, Федерального закона от 26.03.1998 № 41-ФЗ «О драгоценных металлах и драгоценных камнях», Порядком совершения операций с минеральным сырьем, содержащим драгоценные металлы, до аффинажа, утвержденным Постановлением Правительства Российской Федерации от 01.12.1998 № 1419, Положением о подготовке, согласовании и утверждении технических проектов разработки месторождений полезных ископаемых и иной проектной документации на выполнение работ, связанных с пользованием участками недр, по видам полезных ископаемых и видам пользования недрами», утвержденным постановлением Правительства Российской Федерации от 03.03.2010 № 118, пришли к выводу о том, что оспариваемый ненормативный правовой акт налогового органа соответствует положениям законодательства и не нарушает права и законные интересы заявителя, с чем согласился суд округа. Судебные инстанции исходили из доказанности налоговым органом существенного занижения налогоплательщиком цены реализации химически чистого золота при оценке стоимости добытого полезного ископаемого от учетных цен Центрального Банка Российской Федерации, что составило 87,39 процента и повлекло занижение налогооблагаемой базы по налогу на добычу полезных ископаемых за июль 2020 года.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Изложенные в кассационной жалобе доводы, являлись предметом рассмотрения судов трех инстанций, направлены на переоценку установленных судами обстоятельств и не могут являться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Горно-рудная компания «Александровское»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ГОРНО-РУДНАЯ КОМПАНИЯ АЛЕКСАНДРОВСКОЕ (подробнее) Ответчики: Управление Федеральной налоговой службы по Забайкальскому краю (подробнее) Иные лица: 4ААС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