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Нижегородской области от 17.08.2022, оставленным без изменения постановлением Первого арбитражного апелляционного суда от 24.10.2022 и постановлением Арбитражного суда Волго-Вятского округа от 09.02.2023, процедура реализации имущества должника завершена без освобождения от дальнейшего исполнения требований ПАО «Сбербанк России». В кассационной жалобе ФИО1 просит о пересмотре судебных актов, ссылаясь на неправильное применение правил об освобождении от обязательств.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В исследованных обстоятельствах возникновения и исполнения кредитных обязательств суды установили представление должником недостоверных сведений о доходе, наращивание задолженности без осуществления выплат и скоротечное обращение с заявлением о собственном банкротстве, попадающие под применение пункта 4 статьи 213.28 Федерального закона от 26.10.2002 № 127-ФЗ «О несостоятельности (банкротстве)». Иная оценка управляющим действий должника противоречит установленным обстоятельствам и не создает оснований для кассационного пересмотра судебных актов. Руководствуясь статьями,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