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02.08.2022, оставленным без изменения Шестнадцатого арбитражного апелляционного суда от 01.11.2022 и постановлением Арбитражного суда Северо-Кавказского округа от 27.01.2023,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недобросовестность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попадающее под применение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действий и финансовой состоятельности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 Суд: Верховный Суд РФ (подробнее) Истцы: ООО "Столичное агентство по возврату долгов" (подробнее) ООО "Феникс" (подробнее) ООО "Югорское коллекторское агентство" (подробнее) ПАО Банк ВТБ (подробнее) ПАО "Сбербанк России" (подробнее) Иные лица: АССОЦИАЦИЯ "МЕЖРЕГИОНАЛЬНАЯ САМОРЕГУЛИРУЕМАЯ ОРГАНИЗАЦИЯ ПРОФЕССИОНАЛЬНЫХ АРБИТРАЖНЫХ УПРАВЛЯЮЩИХ"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