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Нижегородской области от 28.07.2022, оставленным без изменения постановлением Первого арбитражного апелляционного суда от 24.10.2022 и постановлением Арбитражного суда Волго-Вятского округа от 08.02.2023, заявление удовлетворено. В кассационной жалобе ФИО1 просит об отмене судебных актов, ссылаясь на преждевременную выдачу исполнительного листа до отыскания утраченного автомобиля.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по завершении процедур банкротства должник не освобожден от исполнения обязательств перед банком, поэтому выдача исполнительного листа о взыскании задолженности правомерна и не связана с правами в отношении автомобиля.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Иные лица: УФФСП по Нижегородской области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