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Отменяя решение суда первой и постановление суда апелляционной инстанций и признавая ненормативные правовые акты антимонопольного органа недействительными, суд округа исходил из того, что осуществление антимонопольного контроля за торгами, проводимыми в рамках дел о банкротстве, не является безусловным, при этом управлением не представлено доказательств того, что продажа имущества должника могла каким-либо образом сказаться на обеспечении конкуренции и (или) ее развитии на соответствующем товарном рынке. Иное толкование заявителем жалобы норм материального права не свидетельствует о неправильном применении их судом округа с учетом установленных обстоятельств дела. 2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Санкт-Петербургу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