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Удмуртской Республики от 08.08.2022 заявление кредитора удовлетворено. Постановлением Семнадцатого арбитражного апелляционного суда от 01.11.2022 определение отменено, в удовлетворении заявления отказано. Постановлением Арбитражного суда Уральского округа от 15.02.2023 постановление апелляционного суда отменено, определение суда первой инстанции оставлено в силе. В кассационной жалобе ФИО1 просит отменить определение и постановления окружного суда, ссылаясь на отсутствие законных оснований для прекращения обязательств кредитора перед ней как потребителем и получение им преимущества перед удовлетворением алиментного обязательства.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удовлетворил заявление, установив, что основанием возникновения встречных долгов ответчика и кредитора является одно и тоже обязательство – подряд. Ответчик не учитывает, что в судебном порядке признан обязанным перед кредитором наряду с должником. Доводы жалобы не подтверждают нарушения норм права и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ААУ "Сибирский центр экспертов антикризисного управления" (подробнее) ААУ Солидарность (подробнее) АССОЦИАЦИЯ АРБИТРАЖНЫХ УПРАВЛЯЮЩИХ "ГАРАНТИЯ" (подробнее) Саморегулируемая организация "Союз арбитражных управляющих "Авангард" (подробнее) Саморегулируемая организация Союз арбитражных управляющих "Правосознание"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