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05.08.2022 заявление удовлетворено. Постановлением Девятого арбитражного апелляционного суда от 21.10.2022, оставленным без изменения постановлением Арбитражного суда Московского округа от 02.02.2023, определение изменено: взыскано 85 813 рублей судебных расходов. В кассационной жалобе общество «ДВТГ-Терминал» просит об отмене судебных актов, ссылаясь на неосновательное взыскание в составе расходов на гостиничные услуги налога на добавленную стоимость.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несение расходов на проживание в гостинице в связи с рассматриваемым делом, поэтому взыскали их в соответствии с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Арбитражного процессуального кодекса Российской, обстоятельствами дела. Возражения в отношении налога на добавленную стоимость являются ошибочными.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«ДВТГ-Терминал»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"РЖД" в лице Забайкальской железной дороги - филиала "РЖД" (подробнее) ООО "ДВТГ - Терминал" (подробнее) Ответчики: ОАО "Российские железные дороги"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