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19.01.2022. Определением Арбитражного суда Костромской области от 22.04.2022, оставленным без изменения постановлением Второго арбитражного апелляционного суда от 14.11.2022 и постановлением Арбитражного суда Волго-Вятского округа от 22.02.2023,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