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иском к ООО «Алтесс Групп» и ПАО «Тольяттиазот» о взыскании солидарно штрафа за сверхнормативный простой вагонов под погрузкой и сверхнормативный оборот вагонов на станции Химзаводская Куйбышевской железной дороги в размере 3 106 000 рублей. К участию в деле в качестве третьих лиц, не заявляющих самостоятельных требований относительно предмета спора, привлечены АО «ЛП Транс», ОАО «РЖД». Решением Арбитражного суда Самарской области от 09.08.2022, оставленным без изменения постановлением Одиннадцатого арбитражного апелляционного суда от 30.11.2022 и постановлением Арбитражного суда Поволжского округа от 17.02.2023, с ООО «Алтесс Групп» в пользу ООО «Петрол Трейд Компани» взыскан штраф за сверхнормативный простой вагонов в заявленной сумме;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 310 , 330 , 421 , 431 , 779 , 990 , 1005 ,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 Трейд Компани" (подробнее) Ответчики: ООО "Алтесс Групп"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