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«Петрол Трейд Компани» обратилось в Арбитражный суд Самарской области с иском к ООО «Алтесс Групп» о взыскании 906 000 рублей штрафа за простой вагонов. Определением Арбитражный суд Самарской области от 30.04.2021 к участию в деле в качестве соответчика в порядке статьи 46 Арбитражного процессуального кодекса Российской Федерации привлечено ПАО «Тольяттиазот». К участию в деле в качестве третьих лиц, не заявляющих самостоятельных требований относительно предмета спора, привлечены ОАО «РЖД», АО «ЛП Транс». Решением Арбитражного суда Самарской области от 10.08.2022, оставленным без изменения постановлением Одиннадцатого арбитражного апелляционного суда от 30.11.2022 и постановлением Арбитражного суда Поволжского округа от 22.03.2023, с ООО «Алтесс Групп» в пользу ООО «Петрол Трейд Компани» взыскан штраф за сверхнормативный простой вагонов в заявленной сумме; в удовлетворении иска к ПАО «Тольяттиазот» отказано. ООО «Алтесс Групп» обратилось в Судебную коллегию по экономическим спорам Верховного Суда Российской Федерации с кассационной жалобой и дополнением к ней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права и обязанности из договора перед истцом возникают непосредственно у ООО «Алтесс Групп», признав доказанным факт допущенного ответчиком сверхнормативного простоя вагонов, руководствуясь положениями статей 309 , 310 , 330 , 421 , 431 , 779 , 990 , 1005 , 1011 Гражданского кодекса Российской Федерации, суды пришли к выводу об обоснованности иска, не усмотрев оснований для уменьшения размера подлежащего взысканию штрафа по правилам статьи 333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"Петрол Трейд Компани" (подробнее) Ответчики: ООО "Алтесс Групп" (подробнее) ПАО "Тольяттиазот" (подробнее) Иные лица: Арбитражный суд Поволжского округа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