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принимая во внимание обстоятельства, установленные вступившим в законную силу судебным актом по другому арбитражному делу, руководствуясь 2 положениями гражданского законодательства, суды удовлетворили исковые требования, исходя из доказанности факта возникновения у ответчика обязанности по оплате пользования спорным имуществом и наличия у него задолженности в заявленном размере.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муниципального унитарного предприятия «Электротепловые сети»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