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должником – Государственная корпорация «Агентство по страхованию вкладов» обратилась в суд с заявлением о признании сделки – договора уступки права требования (цессии) от 12.08.2016 № 10, заключенного между должником и обществом, недействительной. Определением Арбитражного суда города Москвы от 24.04.2017 заявление конкурсного управляющего должником удовлетворено. Постановлением Девятого арбитражного апелляционного суда от 21.09.2017 определение суда первой инстанции от 24.04.2017 отменено, в удовлетворении требования конкурсного управляющего должником отказано. Постановлением Арбитражного суда Московского округа от 18.01.2018 постановление апелляционной инстанции от 21.09.2017 отменено, определение суда первой инстанции от 24.04.2017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конкурсного управляющего должником,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834 , 845 , 852 , 859 Гражданского кодекса Российской Федерации, статей 61.1-61.4, 189.40 Федерального закона от 26.10.2002 № 127-ФЗ «О несостоятельности (банкротстве)», позицией, изложенной в пунктах 9, 35.1, 35.3 Постановления Пленума Высшего Арбитражного Суда Российской Федерации от 23 декабря 2010 года № 63 «О некоторых вопросах, связанных с применением главы III.1 Федерального закона "О несостоятельности (банкротстве)"», констатировал невозможность отнесения спорной сделки к обычной хозяйственной деятельности должника, совершённой в период подозрительности при условии неравноценного встречного исполнения; указал на предпочтительное удовлетворение требований одного из кредиторов вследствие данной сделки; признал недоказанным факт получения должником встречного исполнения обязательств по сделке. Суд округа, оставляя в силе определение суда первой инстанции, установил правомерность признания оспариваемого договора цессии недействительной сделкой ввиду её совершения в период подозрительности и осуществления оспариваемого платежа в обход других ожидающих исполнения распоряжений клиентов, которые в это время не могли получить доступ к своим средствам; признал обоснованность выводов суда первой инстанции об отсутствии экономической целесообразности для должника в совершении сделки и встречного исполнения со стороны общества.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«Капитал Траст»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Акб "русский Трастовый (подробнее) АКБ "Русский трастовый Банк" (подробнее) АО АКБ "Русский трастовый Банк" в лице к/у ГК "АСВ" (подробнее) БАНК РОССИИ (подробнее) ГК АКБ "Русский Финансовый Альянс" в лице "АСВ" (подробнее) ГК АСВ (подробнее) ЗАО АКБ "Русский трастовый банк" (подробнее) ИП ГАЙНАНОВ Н.Х. (подробнее) КОО "СТЕЛЛА ПЕКУНИЭ КОЛЛОКАТИО РИАЛ ЭСТЕЙТ ИНВЕСТМЕНТ КОМПАНИ" (подробнее) ООО БРИО ФИНАНС (подробнее) ООО Вектор (подробнее) ООО "Гостиный двор" (подробнее) ООО ИНТЕРПЛАСТМЕТАЛЛ (подробнее) ООО " Капитал Траст" (подробнее) ООО "Микрофинансовая организация Брио Финанс" (подробнее) ООО "Монолит" (подробнее) ООО "Русский Аудит" (подробнее) ООО "ТИГМА" (подробнее) Последние документы по делу: Определение от 26 марта 2020 г. по делу № А40-175205/2016 Определение от 18 октября 2018 г. по делу № А40-175205/2016 Резолютивная часть постановления от 8 октября 2018 г. по делу № А40-175205/2016 Определение от 11 октября 2018 г. по делу № А40-175205/2016 Определение от 28 сентября 2018 г. по делу № А40-175205/2016 Определение от 17 сентября 2018 г. по делу № А40-175205/2016 Определение от 14 сентября 2018 г. по делу № А40-175205/2016 Определение от 16 апреля 2018 г. по делу № А40-175205/2016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