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руководствуясь положениями действующего процессуального 2 законодательства, установив факт утраты исполнительного листа, суды пришли к выводу о наличии оснований для выдачи его дубликата. Изложенные в кассационной жалобе доводы были предметом рассмотрения судов и получили правовую оценку, не опровергают выводы судов, не подтверждают нарушений судами норм права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«Новый Дом»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