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«ТЭК-СВ» обратилось в Арбитражный суд города Москвы с иском о взыскании с ООО «Рефтранс» 1 071 690 рублей убытков. Решением Арбитражного суда города Москвы от 30.08.2022, оставленным без изменения постановлением Девятого арбитражного апелляционного суда от 17.11.2022 и постановлением Арбитражного суда Московского округа от 01.02.2023, иск удовлетворен в части взыскания 857 352 рублей убытков, а также 20 147 рублей государственной пошлины; в удовлетворении иска в остальной части отказано. ООО «Рефтранс»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несения истцом убытков вследствие превышения срока использования ответчиком вагонов, учитывая условия договора, руководствуясь положениями статей 15 , 393 Гражданского кодекса Российской Федерации, суды пришли к выводу о наличии оснований для удовлетворения иска в части.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"ТЭК-СВ" (подробнее) Ответчики: ООО "Рефтранс"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