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требования в размере 19 201 217 рублей 64 копеек. Определением Арбитражного суда города Москвы от 08.07.2022, оставленным без изменения постановлением Девятого арбитражного апелляционного суда от 01.11.2022 и Арбитражного суда Московского округа от 31.01.2023,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453, 702, 717 Гражданского кодекса Российской Федерации, статьями 16, 100, 142 Федерального закона от 26.10.2002 № 127-ФЗ «О несостоятельности (банкротстве)», исходили из недоказанности факта наличия задолженности перед обществом в заявленном им размере, в связи с чем отказали в удовлетворении заявления. Выводы судов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