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28.07.2022 Шавриной Е.М. установлены проценты по вознаграждению в размере 362 162 рублей 50 копеек. Девятый арбитражный апелляционный суд постановлением от 02.11.2022, отменив определение от 28.07.2022, установил Антонову А.А. проценты по вознаграждению в размере 239 293 рублей 18 копеек, Шавриной Е.М. – 253 943 рублей 79 копеек, Шевриной М.С. – 324 755 рублей 03 копеек. Арбитражный суд Московского округа постановлением от 30.01.2023 оставил без изменения постановление апелляционного суда от 02.11.2022. В кассационных жалобах Антонов А.А. и Шаврина Е.М. просят об отмене судебных актов апелляционного и окружного судов, ссылаясь на рассмотрение незаявленного требования и противоречащую фактическим обстоятельствам оценку проведенных управляющими мероприятий.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усматривается. Апелляционный суд установил, что заключенное Антоновым А.А. и Шавриной Е.М. соглашение о распределении вознаграждения нарушает интересы третьего арбитражного управляющего, поэтому отступил от условий соглашения, распределив вознаграждение исходя из применяемых судебной практикой критериев – периода исполнения обязанностей и вклада в результат. Иная оценка обстоятельств спора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арбитражным управляющим Антонову А.А. и Шавриной Е.М.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